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90" w:lineRule="exact"/>
        <w:jc w:val="left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</w:rPr>
        <w:t>附件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2</w:t>
      </w:r>
    </w:p>
    <w:p>
      <w:pPr>
        <w:snapToGrid w:val="0"/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napToGrid w:val="0"/>
        <w:spacing w:line="59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年度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碳达峰碳中和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领域重点攻关需求清单</w:t>
      </w:r>
    </w:p>
    <w:p>
      <w:pPr>
        <w:snapToGrid w:val="0"/>
        <w:spacing w:line="590" w:lineRule="exact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tbl>
      <w:tblPr>
        <w:tblStyle w:val="3"/>
        <w:tblW w:w="149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1"/>
        <w:gridCol w:w="940"/>
        <w:gridCol w:w="2443"/>
        <w:gridCol w:w="2784"/>
        <w:gridCol w:w="4716"/>
        <w:gridCol w:w="1170"/>
        <w:gridCol w:w="1353"/>
        <w:gridCol w:w="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tblHeader/>
          <w:jc w:val="center"/>
        </w:trPr>
        <w:tc>
          <w:tcPr>
            <w:tcW w:w="5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  <w:t>技术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  <w:t>（产品）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  <w:t>技术（产品）简介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</w:rPr>
              <w:t>国内外核心指标对比</w:t>
            </w:r>
          </w:p>
        </w:tc>
        <w:tc>
          <w:tcPr>
            <w:tcW w:w="47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预期成果（包含攻关计划、产业贡献、经济数据等，</w:t>
            </w:r>
            <w:r>
              <w:rPr>
                <w:rFonts w:hint="eastAsia" w:ascii="Times New Roman" w:hAnsi="Times New Roman" w:cs="Times New Roman"/>
                <w:b/>
                <w:bCs w:val="0"/>
                <w:color w:val="C00000"/>
                <w:sz w:val="18"/>
                <w:szCs w:val="18"/>
                <w:highlight w:val="none"/>
                <w:lang w:val="en-US" w:eastAsia="zh-CN"/>
              </w:rPr>
              <w:t>要突出标志性成果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center"/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申报</w:t>
            </w:r>
            <w:r>
              <w:rPr>
                <w:rFonts w:hint="default" w:ascii="Times New Roman" w:hAnsi="Times New Roman" w:eastAsia="宋体" w:cs="Times New Roman"/>
                <w:b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单位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合作单位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eastAsia="zh-CN"/>
              </w:rPr>
              <w:t>）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b/>
                <w:bCs w:val="0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实施方式（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揭榜挂帅、定向委托或公开竞争</w:t>
            </w: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）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center"/>
              <w:rPr>
                <w:rFonts w:hint="default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 w:val="0"/>
                <w:color w:val="auto"/>
                <w:sz w:val="18"/>
                <w:szCs w:val="18"/>
                <w:highlight w:val="none"/>
                <w:lang w:val="en-US" w:eastAsia="zh-CN"/>
              </w:rPr>
              <w:t>申请省财政资金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1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center"/>
              <w:rPr>
                <w:rFonts w:hint="default" w:cs="Times New Roman"/>
                <w:lang w:val="en-US" w:eastAsia="zh-CN"/>
              </w:rPr>
            </w:pPr>
            <w:r>
              <w:rPr>
                <w:rFonts w:hint="default" w:cs="Times New Roman"/>
                <w:lang w:val="en-US" w:eastAsia="zh-CN"/>
              </w:rPr>
              <w:t>1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 w:cs="Times New Roman"/>
                <w:b/>
                <w:bCs/>
                <w:color w:val="C00000"/>
                <w:sz w:val="15"/>
                <w:szCs w:val="15"/>
                <w:lang w:val="en-US" w:eastAsia="zh-CN"/>
              </w:rPr>
              <w:t>（示例）</w:t>
            </w:r>
          </w:p>
        </w:tc>
        <w:tc>
          <w:tcPr>
            <w:tcW w:w="94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default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可降解塑料技术(聚乳酸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auto"/>
                <w:kern w:val="2"/>
                <w:sz w:val="18"/>
                <w:szCs w:val="18"/>
                <w:lang w:val="en-US" w:eastAsia="zh-CN" w:bidi="ar-SA"/>
              </w:rPr>
              <w:t>）</w:t>
            </w:r>
          </w:p>
        </w:tc>
        <w:tc>
          <w:tcPr>
            <w:tcW w:w="244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  <w:t>Natureworks、意大利Novamont、德国巴斯夫分别在聚乳酸、淀粉基塑料、PBAT产能上全球领先。在合成工艺上，我国通用聚乳酸已实现突破，但高耐热及高分子量聚乳酸的制备技术还未完全掌握。通用PBAT已实现规模化生产，但受制于催化剂、聚合工艺和装备，在稳定性、抗老化性等方面与国外领军企业相比还有差距。此外，高效加工及制品制造技术薄弱，量产关键装备仍依赖于进口。</w:t>
            </w:r>
          </w:p>
        </w:tc>
        <w:tc>
          <w:tcPr>
            <w:tcW w:w="2784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国际：（对标美国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**公司**产品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聚乳酸树脂：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旋光纯度＝xxx;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熔点Tm xxx℃: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树脂耐老化性好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膜级及发泡聚乳酸：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熔体流动速率：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IFR =xxx;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国内：（</w:t>
            </w:r>
            <w:r>
              <w:rPr>
                <w:rFonts w:hint="eastAsia" w:ascii="Times New Roman" w:hAnsi="Times New Roman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浙江**公司**产品</w:t>
            </w: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）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聚乳酸树脂：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旋光纯度=xxx；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熔点Tm≥xxx℃；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树脂耐老化性偏差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膜级及发泡聚乳酸：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熔体流动速率：IFR≥ xxx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</w:rPr>
            </w:pPr>
          </w:p>
        </w:tc>
        <w:tc>
          <w:tcPr>
            <w:tcW w:w="4716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突破聚乳酸单体制备、高纯度丙交酯及高旋光度聚乳酸的制备等关键技术。预计到202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年底，完成总体设计和乳酸树脂除产品开发，到202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年，开发出多功能、多品种聚乳酸及其改性料，实现国产聚乳酸核心关键助剂（成核、扩链、增容、扩链等）的规模化制备，核心技术指标达到国际先进水平。预计2022年至2025年可新增销售额约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万元，新增利润</w:t>
            </w: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万元。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auto"/>
                <w:sz w:val="18"/>
                <w:szCs w:val="18"/>
                <w:lang w:val="en-US" w:eastAsia="zh-CN"/>
              </w:rPr>
              <w:t>核心技术指标：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聚乳酸树脂旋光纯度达xxx以上、熔点xxx℃以上；快速成型及耐热聚乳酸高效成核剂（xx降温非等温结晶温度大于xx℃）；膜级及发泡聚乳酸高效扩链剂(添加量低于xx%时熔体强度满足吹膜及发泡需求（熔指xx降为xx）；聚乳酸高效增容剂（非生物降解部分低于x%时，缺口冲击强度大于xx）；聚乳酸高效抗水解剂（聚乳酸树脂生物降解速率可控、可调）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18"/>
                <w:szCs w:val="18"/>
                <w:lang w:val="en-US" w:eastAsia="zh-CN"/>
              </w:rPr>
              <w:t>**公司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18"/>
                <w:szCs w:val="18"/>
                <w:highlight w:val="none"/>
                <w:lang w:val="en-US"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FF0000"/>
                <w:sz w:val="18"/>
                <w:szCs w:val="18"/>
                <w:highlight w:val="none"/>
                <w:lang w:val="en-US" w:eastAsia="zh-CN"/>
              </w:rPr>
              <w:t>合作单位可以是省外高校、科研院所或企业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18"/>
                <w:szCs w:val="18"/>
                <w:highlight w:val="none"/>
                <w:lang w:val="en-US" w:eastAsia="zh-CN"/>
              </w:rPr>
              <w:t>）</w:t>
            </w:r>
            <w:r>
              <w:rPr>
                <w:rFonts w:hint="eastAsia" w:ascii="Times New Roman" w:hAnsi="Times New Roman" w:cs="Times New Roman"/>
                <w:i/>
                <w:iCs/>
                <w:color w:val="FF0000"/>
                <w:sz w:val="18"/>
                <w:szCs w:val="18"/>
                <w:highlight w:val="none"/>
                <w:lang w:val="en-US" w:eastAsia="zh-CN"/>
              </w:rPr>
              <w:t>；**公司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left"/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i/>
                <w:iCs/>
                <w:color w:val="FF0000"/>
                <w:sz w:val="18"/>
                <w:szCs w:val="18"/>
                <w:lang w:val="en-US" w:eastAsia="zh-CN"/>
              </w:rPr>
              <w:t>例：采取揭榜挂帅，谁提出重大技术需求，谁来解决。</w:t>
            </w:r>
          </w:p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jc w:val="left"/>
              <w:rPr>
                <w:rFonts w:hint="eastAsia"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</w:p>
        </w:tc>
        <w:tc>
          <w:tcPr>
            <w:tcW w:w="98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bidi w:val="0"/>
              <w:spacing w:line="280" w:lineRule="exact"/>
              <w:rPr>
                <w:rFonts w:hint="default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szCs w:val="18"/>
                <w:lang w:val="en-US" w:eastAsia="zh-CN"/>
              </w:rPr>
              <w:t>**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626E"/>
    <w:multiLevelType w:val="multilevel"/>
    <w:tmpl w:val="031B626E"/>
    <w:lvl w:ilvl="0" w:tentative="0">
      <w:start w:val="1"/>
      <w:numFmt w:val="none"/>
      <w:suff w:val="space"/>
      <w:lvlText w:val=""/>
      <w:lvlJc w:val="center"/>
      <w:pPr>
        <w:ind w:firstLine="288"/>
      </w:pPr>
      <w:rPr>
        <w:rFonts w:hint="eastAsia" w:cs="Times New Roman"/>
      </w:rPr>
    </w:lvl>
    <w:lvl w:ilvl="1" w:tentative="0">
      <w:start w:val="1"/>
      <w:numFmt w:val="chineseCountingThousand"/>
      <w:suff w:val="space"/>
      <w:lvlText w:val="第%2章"/>
      <w:lvlJc w:val="center"/>
      <w:pPr>
        <w:ind w:firstLine="288"/>
      </w:pPr>
      <w:rPr>
        <w:rFonts w:hint="eastAsia" w:eastAsia="黑体" w:cs="Times New Roman"/>
        <w:sz w:val="32"/>
      </w:rPr>
    </w:lvl>
    <w:lvl w:ilvl="2" w:tentative="0">
      <w:start w:val="1"/>
      <w:numFmt w:val="chineseCountingThousand"/>
      <w:suff w:val="space"/>
      <w:lvlText w:val="第%3节"/>
      <w:lvlJc w:val="center"/>
      <w:pPr>
        <w:ind w:left="-146" w:firstLine="288"/>
      </w:pPr>
      <w:rPr>
        <w:rFonts w:cs="Times New Roman"/>
      </w:rPr>
    </w:lvl>
    <w:lvl w:ilvl="3" w:tentative="0">
      <w:start w:val="1"/>
      <w:numFmt w:val="chineseCountingThousand"/>
      <w:pStyle w:val="2"/>
      <w:suff w:val="nothing"/>
      <w:lvlText w:val="%4、"/>
      <w:lvlJc w:val="left"/>
      <w:pPr>
        <w:ind w:left="2408" w:hanging="1988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4" w:tentative="0">
      <w:start w:val="1"/>
      <w:numFmt w:val="decimal"/>
      <w:suff w:val="nothing"/>
      <w:lvlText w:val="%5、"/>
      <w:lvlJc w:val="left"/>
      <w:pPr>
        <w:ind w:left="57" w:firstLine="510"/>
      </w:pPr>
      <w:rPr>
        <w:rFonts w:hint="eastAsia"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 w:tentative="0">
      <w:start w:val="1"/>
      <w:numFmt w:val="decimal"/>
      <w:suff w:val="nothing"/>
      <w:lvlText w:val="%6）"/>
      <w:lvlJc w:val="left"/>
      <w:pPr>
        <w:ind w:left="199" w:firstLine="51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486686"/>
    <w:rsid w:val="052F1620"/>
    <w:rsid w:val="1404537E"/>
    <w:rsid w:val="32AC7216"/>
    <w:rsid w:val="3637251E"/>
    <w:rsid w:val="49FA0453"/>
    <w:rsid w:val="53601A8F"/>
    <w:rsid w:val="54593FF2"/>
    <w:rsid w:val="58916E58"/>
    <w:rsid w:val="5FB2246A"/>
    <w:rsid w:val="67774AA8"/>
    <w:rsid w:val="71E7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outlineLvl w:val="3"/>
    </w:pPr>
    <w:rPr>
      <w:rFonts w:ascii="Arial" w:hAnsi="Arial"/>
      <w:b/>
      <w:bCs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2022-08-19T08:20:00Z</dcterms:created>
  <dc:creator>Administrator</dc:creator>
  <cp:lastModifiedBy>李静</cp:lastModifiedBy>
  <dcterms:modified xsi:type="dcterms:W3CDTF">2022-09-09T02:14:59Z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